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6B" w:rsidRDefault="007A4F6B" w:rsidP="00493DA6">
      <w:pPr>
        <w:jc w:val="center"/>
      </w:pPr>
    </w:p>
    <w:p w:rsidR="00BC236E" w:rsidRPr="00DF1D5D" w:rsidRDefault="00DF1D5D" w:rsidP="00DF1D5D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PROGRAMMA SVOLTO</w:t>
      </w:r>
    </w:p>
    <w:p w:rsidR="00493DA6" w:rsidRDefault="00493DA6"/>
    <w:p w:rsidR="00493DA6" w:rsidRDefault="00493D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C236E" w:rsidRPr="00A84022" w:rsidTr="008711DF">
        <w:tc>
          <w:tcPr>
            <w:tcW w:w="268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Materia:</w:t>
            </w:r>
          </w:p>
        </w:tc>
        <w:tc>
          <w:tcPr>
            <w:tcW w:w="693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Psicologia generale applicata</w:t>
            </w:r>
          </w:p>
        </w:tc>
      </w:tr>
      <w:tr w:rsidR="00BC236E" w:rsidRPr="00A84022" w:rsidTr="008711DF">
        <w:tc>
          <w:tcPr>
            <w:tcW w:w="268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Classe:</w:t>
            </w:r>
          </w:p>
        </w:tc>
        <w:tc>
          <w:tcPr>
            <w:tcW w:w="693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4Aart-sas</w:t>
            </w:r>
          </w:p>
        </w:tc>
      </w:tr>
      <w:tr w:rsidR="00BC236E" w:rsidRPr="00A84022" w:rsidTr="008711DF">
        <w:tc>
          <w:tcPr>
            <w:tcW w:w="268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Insegnante/i:</w:t>
            </w:r>
          </w:p>
        </w:tc>
        <w:tc>
          <w:tcPr>
            <w:tcW w:w="693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Silvia </w:t>
            </w:r>
            <w:proofErr w:type="spellStart"/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Cialli</w:t>
            </w:r>
            <w:proofErr w:type="spellEnd"/>
          </w:p>
        </w:tc>
      </w:tr>
      <w:tr w:rsidR="00BC236E" w:rsidRPr="00A84022" w:rsidTr="008711DF">
        <w:tc>
          <w:tcPr>
            <w:tcW w:w="268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Libri di testo:</w:t>
            </w:r>
          </w:p>
        </w:tc>
        <w:tc>
          <w:tcPr>
            <w:tcW w:w="6939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“La comprensione e l’esperienza”</w:t>
            </w: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PARAVIA</w:t>
            </w:r>
          </w:p>
        </w:tc>
      </w:tr>
    </w:tbl>
    <w:p w:rsidR="00BC236E" w:rsidRPr="00A84022" w:rsidRDefault="00BC23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C236E" w:rsidRPr="00A84022" w:rsidTr="008711DF">
        <w:tc>
          <w:tcPr>
            <w:tcW w:w="4106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Unità 6 “Il disagio minorile”</w:t>
            </w:r>
          </w:p>
        </w:tc>
        <w:tc>
          <w:tcPr>
            <w:tcW w:w="5522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>Gli abusi sui bambini; Le disabilità intellettive; Le disabilità sensoriali; Le disabilità motorie</w:t>
            </w:r>
          </w:p>
        </w:tc>
      </w:tr>
      <w:tr w:rsidR="00BC236E" w:rsidRPr="00A84022" w:rsidTr="008711DF">
        <w:tc>
          <w:tcPr>
            <w:tcW w:w="4106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Unità 7 “I diversamente abili”</w:t>
            </w:r>
          </w:p>
        </w:tc>
        <w:tc>
          <w:tcPr>
            <w:tcW w:w="5522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>Definire e conoscere la disabilità; Le disabilità intellettive; Le disabilità sensoriali; Le disabilità motorie</w:t>
            </w:r>
          </w:p>
        </w:tc>
      </w:tr>
      <w:tr w:rsidR="00BC236E" w:rsidRPr="00A84022" w:rsidTr="008711DF">
        <w:tc>
          <w:tcPr>
            <w:tcW w:w="4106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Unità 8 “Il disagio psichico”</w:t>
            </w:r>
          </w:p>
        </w:tc>
        <w:tc>
          <w:tcPr>
            <w:tcW w:w="5522" w:type="dxa"/>
          </w:tcPr>
          <w:p w:rsidR="00BC236E" w:rsidRPr="00A84022" w:rsidRDefault="008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 xml:space="preserve">Definire e classificare </w:t>
            </w:r>
            <w:r w:rsidR="009372F8" w:rsidRPr="00A84022">
              <w:rPr>
                <w:rFonts w:ascii="Times New Roman" w:hAnsi="Times New Roman" w:cs="Times New Roman"/>
                <w:sz w:val="24"/>
                <w:szCs w:val="24"/>
              </w:rPr>
              <w:t>la malattia mentale; I disturbi psichici</w:t>
            </w:r>
          </w:p>
        </w:tc>
      </w:tr>
      <w:tr w:rsidR="00BC236E" w:rsidRPr="00A84022" w:rsidTr="008711DF">
        <w:tc>
          <w:tcPr>
            <w:tcW w:w="4106" w:type="dxa"/>
          </w:tcPr>
          <w:p w:rsidR="00BC236E" w:rsidRPr="00A84022" w:rsidRDefault="0093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Unità 9 “Gli anziani”</w:t>
            </w:r>
          </w:p>
        </w:tc>
        <w:tc>
          <w:tcPr>
            <w:tcW w:w="5522" w:type="dxa"/>
          </w:tcPr>
          <w:p w:rsidR="00BC236E" w:rsidRPr="00A84022" w:rsidRDefault="009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>Gli indicatori della vecchiaia; Gli anziani e la demenza; La malattia o morbo di Parkinson</w:t>
            </w:r>
          </w:p>
        </w:tc>
      </w:tr>
      <w:tr w:rsidR="00BC236E" w:rsidRPr="00A84022" w:rsidTr="008711DF">
        <w:tc>
          <w:tcPr>
            <w:tcW w:w="4106" w:type="dxa"/>
          </w:tcPr>
          <w:p w:rsidR="00BC236E" w:rsidRPr="00A84022" w:rsidRDefault="0093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Unità 10 “Le dipendenze”</w:t>
            </w:r>
          </w:p>
        </w:tc>
        <w:tc>
          <w:tcPr>
            <w:tcW w:w="5522" w:type="dxa"/>
          </w:tcPr>
          <w:p w:rsidR="00BC236E" w:rsidRPr="00A84022" w:rsidRDefault="009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>La dipendenza da droga; La dipendenza da alcol</w:t>
            </w:r>
          </w:p>
        </w:tc>
      </w:tr>
      <w:tr w:rsidR="00BC236E" w:rsidRPr="00A84022" w:rsidTr="008711DF">
        <w:tc>
          <w:tcPr>
            <w:tcW w:w="4106" w:type="dxa"/>
          </w:tcPr>
          <w:p w:rsidR="00BC236E" w:rsidRPr="00A84022" w:rsidRDefault="0093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Unità 11 “La famiglia e le sue difficoltà”</w:t>
            </w:r>
          </w:p>
        </w:tc>
        <w:tc>
          <w:tcPr>
            <w:tcW w:w="5522" w:type="dxa"/>
          </w:tcPr>
          <w:p w:rsidR="00BC236E" w:rsidRPr="00A84022" w:rsidRDefault="009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>La famiglia multiproblematica; Le situazioni che possono destabilizzare la famiglia</w:t>
            </w:r>
          </w:p>
        </w:tc>
      </w:tr>
      <w:tr w:rsidR="00A84022" w:rsidRPr="00A84022" w:rsidTr="008711DF">
        <w:tc>
          <w:tcPr>
            <w:tcW w:w="4106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b/>
                <w:sz w:val="24"/>
                <w:szCs w:val="24"/>
              </w:rPr>
              <w:t>Unità 12 “Star bene con se stessi e gli altri”</w:t>
            </w:r>
          </w:p>
        </w:tc>
        <w:tc>
          <w:tcPr>
            <w:tcW w:w="5522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sz w:val="24"/>
                <w:szCs w:val="24"/>
              </w:rPr>
              <w:t>La salute; Il benessere</w:t>
            </w:r>
          </w:p>
        </w:tc>
      </w:tr>
      <w:tr w:rsidR="00A84022" w:rsidRPr="00A84022" w:rsidTr="008711DF">
        <w:tc>
          <w:tcPr>
            <w:tcW w:w="4106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b/>
                <w:sz w:val="24"/>
                <w:szCs w:val="24"/>
              </w:rPr>
              <w:t>Unità 13 “Prendersi cura degli altri”</w:t>
            </w:r>
          </w:p>
        </w:tc>
        <w:tc>
          <w:tcPr>
            <w:tcW w:w="5522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sz w:val="24"/>
                <w:szCs w:val="24"/>
              </w:rPr>
              <w:t>I comportamenti di aiuto; L’intervento professionale di aiuto; Il rischio di stress professionale”</w:t>
            </w:r>
          </w:p>
        </w:tc>
      </w:tr>
      <w:tr w:rsidR="00A84022" w:rsidRPr="00A84022" w:rsidTr="008711DF">
        <w:tc>
          <w:tcPr>
            <w:tcW w:w="4106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b/>
                <w:sz w:val="24"/>
                <w:szCs w:val="24"/>
              </w:rPr>
              <w:t>Unità 14 “Lavorare con gli altri”</w:t>
            </w:r>
          </w:p>
        </w:tc>
        <w:tc>
          <w:tcPr>
            <w:tcW w:w="5522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sz w:val="24"/>
                <w:szCs w:val="24"/>
              </w:rPr>
              <w:t>Il lavoro di equipe; La rete nel lavoro sociale e socio-sanitario</w:t>
            </w:r>
          </w:p>
        </w:tc>
      </w:tr>
      <w:tr w:rsidR="00A84022" w:rsidRPr="00A84022" w:rsidTr="008711DF">
        <w:tc>
          <w:tcPr>
            <w:tcW w:w="4106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b/>
                <w:sz w:val="24"/>
                <w:szCs w:val="24"/>
              </w:rPr>
              <w:t>Unità 15 “La progettazione in ambito sociale e socio-sanitario”</w:t>
            </w:r>
          </w:p>
        </w:tc>
        <w:tc>
          <w:tcPr>
            <w:tcW w:w="5522" w:type="dxa"/>
          </w:tcPr>
          <w:p w:rsidR="00A84022" w:rsidRPr="00DF1D5D" w:rsidRDefault="00A8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5D">
              <w:rPr>
                <w:rFonts w:ascii="Times New Roman" w:hAnsi="Times New Roman" w:cs="Times New Roman"/>
                <w:sz w:val="24"/>
                <w:szCs w:val="24"/>
              </w:rPr>
              <w:t>Lavorare per progetti; Le fasi della progettazione</w:t>
            </w:r>
          </w:p>
        </w:tc>
      </w:tr>
      <w:tr w:rsidR="00E76D9D" w:rsidRPr="00A84022" w:rsidTr="008711DF">
        <w:tc>
          <w:tcPr>
            <w:tcW w:w="4106" w:type="dxa"/>
          </w:tcPr>
          <w:p w:rsidR="00E76D9D" w:rsidRPr="00A84022" w:rsidRDefault="00E7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  <w:tc>
          <w:tcPr>
            <w:tcW w:w="5522" w:type="dxa"/>
          </w:tcPr>
          <w:p w:rsidR="00E76D9D" w:rsidRPr="00A84022" w:rsidRDefault="00E7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sz w:val="24"/>
                <w:szCs w:val="24"/>
              </w:rPr>
              <w:t>Per ogni modulo fare “Sintesi dell’unità” e “Mappa dell’unità” al termine di ciascuna unità.</w:t>
            </w:r>
          </w:p>
        </w:tc>
      </w:tr>
    </w:tbl>
    <w:p w:rsidR="00BC236E" w:rsidRDefault="00BC236E">
      <w:bookmarkStart w:id="0" w:name="_GoBack"/>
      <w:bookmarkEnd w:id="0"/>
    </w:p>
    <w:sectPr w:rsidR="00BC2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D5" w:rsidRDefault="001C1FD5" w:rsidP="001D6A53">
      <w:pPr>
        <w:spacing w:after="0" w:line="240" w:lineRule="auto"/>
      </w:pPr>
      <w:r>
        <w:separator/>
      </w:r>
    </w:p>
  </w:endnote>
  <w:endnote w:type="continuationSeparator" w:id="0">
    <w:p w:rsidR="001C1FD5" w:rsidRDefault="001C1FD5" w:rsidP="001D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D5" w:rsidRDefault="001C1FD5" w:rsidP="001D6A53">
      <w:pPr>
        <w:spacing w:after="0" w:line="240" w:lineRule="auto"/>
      </w:pPr>
      <w:r>
        <w:separator/>
      </w:r>
    </w:p>
  </w:footnote>
  <w:footnote w:type="continuationSeparator" w:id="0">
    <w:p w:rsidR="001C1FD5" w:rsidRDefault="001C1FD5" w:rsidP="001D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E142646" wp14:editId="360CF850">
          <wp:simplePos x="0" y="0"/>
          <wp:positionH relativeFrom="margin">
            <wp:align>center</wp:align>
          </wp:positionH>
          <wp:positionV relativeFrom="page">
            <wp:posOffset>73632</wp:posOffset>
          </wp:positionV>
          <wp:extent cx="6607747" cy="988059"/>
          <wp:effectExtent l="0" t="0" r="3175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74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3"/>
    <w:rsid w:val="00034039"/>
    <w:rsid w:val="00105FA6"/>
    <w:rsid w:val="001C1FD5"/>
    <w:rsid w:val="001D6A53"/>
    <w:rsid w:val="002047A1"/>
    <w:rsid w:val="002453F2"/>
    <w:rsid w:val="00386582"/>
    <w:rsid w:val="003C040D"/>
    <w:rsid w:val="00493DA6"/>
    <w:rsid w:val="005D35B8"/>
    <w:rsid w:val="006206D2"/>
    <w:rsid w:val="007A4F6B"/>
    <w:rsid w:val="00813C08"/>
    <w:rsid w:val="008711DF"/>
    <w:rsid w:val="0087753E"/>
    <w:rsid w:val="009372F8"/>
    <w:rsid w:val="00A84022"/>
    <w:rsid w:val="00B414D8"/>
    <w:rsid w:val="00BC236E"/>
    <w:rsid w:val="00DF1D5D"/>
    <w:rsid w:val="00E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EBD3-6918-4371-8161-E051D028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A53"/>
  </w:style>
  <w:style w:type="paragraph" w:styleId="Pidipagina">
    <w:name w:val="footer"/>
    <w:basedOn w:val="Normale"/>
    <w:link w:val="PidipaginaCarattere"/>
    <w:uiPriority w:val="99"/>
    <w:unhideWhenUsed/>
    <w:rsid w:val="001D6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53"/>
  </w:style>
  <w:style w:type="table" w:styleId="Grigliatabella">
    <w:name w:val="Table Grid"/>
    <w:basedOn w:val="Tabellanormale"/>
    <w:uiPriority w:val="39"/>
    <w:rsid w:val="00B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2023-06-30T09:15:00Z</dcterms:created>
  <dcterms:modified xsi:type="dcterms:W3CDTF">2023-06-30T09:15:00Z</dcterms:modified>
</cp:coreProperties>
</file>